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both"/>
        <w:rPr>
          <w:rFonts w:ascii="楷体_GB2312" w:cs="楷体_GB2312" w:hAnsi="楷体_GB2312" w:eastAsia="楷体_GB2312"/>
          <w:kern w:val="2"/>
          <w:sz w:val="24"/>
          <w:szCs w:val="24"/>
          <w:u w:color="000000"/>
          <w:rtl w:val="0"/>
        </w:rPr>
      </w:pPr>
      <w:r>
        <w:rPr>
          <w:rFonts w:ascii="楷体_GB2312" w:cs="楷体_GB2312" w:hAnsi="楷体_GB2312" w:eastAsia="楷体_GB2312" w:hint="eastAsia"/>
          <w:kern w:val="2"/>
          <w:sz w:val="24"/>
          <w:szCs w:val="24"/>
          <w:u w:color="000000"/>
          <w:rtl w:val="0"/>
          <w:lang w:val="zh-TW" w:eastAsia="zh-TW"/>
        </w:rPr>
        <w:t>附件</w:t>
      </w:r>
      <w:r>
        <w:rPr>
          <w:rFonts w:ascii="楷体_GB2312" w:cs="楷体_GB2312" w:hAnsi="楷体_GB2312" w:eastAsia="楷体_GB2312"/>
          <w:kern w:val="2"/>
          <w:sz w:val="24"/>
          <w:szCs w:val="24"/>
          <w:u w:color="000000"/>
          <w:rtl w:val="0"/>
          <w:lang w:val="en-US"/>
        </w:rPr>
        <w:t>1</w:t>
      </w: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360" w:lineRule="exact"/>
        <w:ind w:left="0" w:right="0" w:firstLine="0"/>
        <w:jc w:val="center"/>
        <w:rPr>
          <w:rFonts w:ascii="黑体" w:cs="黑体" w:hAnsi="黑体" w:eastAsia="黑体"/>
          <w:kern w:val="2"/>
          <w:sz w:val="32"/>
          <w:szCs w:val="32"/>
          <w:u w:color="000000"/>
          <w:rtl w:val="0"/>
        </w:rPr>
      </w:pPr>
      <w:r>
        <w:rPr>
          <w:rFonts w:ascii="黑体" w:cs="黑体" w:hAnsi="黑体" w:eastAsia="黑体" w:hint="eastAsia"/>
          <w:kern w:val="2"/>
          <w:sz w:val="32"/>
          <w:szCs w:val="32"/>
          <w:u w:color="000000"/>
          <w:rtl w:val="0"/>
          <w:lang w:val="zh-TW" w:eastAsia="zh-TW"/>
        </w:rPr>
        <w:t>同济大学文明单位测评指标体系</w:t>
      </w:r>
    </w:p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360" w:lineRule="exact"/>
        <w:ind w:left="0" w:right="0" w:firstLine="0"/>
        <w:jc w:val="center"/>
        <w:rPr>
          <w:rFonts w:ascii="Arial Unicode MS" w:cs="Arial Unicode MS" w:hAnsi="Arial Unicode MS" w:eastAsia="Arial Unicode MS"/>
          <w:kern w:val="2"/>
          <w:sz w:val="24"/>
          <w:szCs w:val="24"/>
          <w:u w:color="000000"/>
          <w:rtl w:val="0"/>
        </w:rPr>
      </w:pPr>
      <w:r>
        <w:rPr>
          <w:rFonts w:ascii="宋体" w:cs="宋体" w:hAnsi="宋体" w:eastAsia="宋体" w:hint="eastAsia"/>
          <w:b w:val="1"/>
          <w:bCs w:val="1"/>
          <w:kern w:val="0"/>
          <w:sz w:val="24"/>
          <w:szCs w:val="24"/>
          <w:u w:color="000000"/>
          <w:rtl w:val="0"/>
          <w:lang w:val="zh-TW" w:eastAsia="zh-TW"/>
        </w:rPr>
        <w:t>一、基本指标（</w:t>
      </w:r>
      <w:r>
        <w:rPr>
          <w:rFonts w:ascii="宋体" w:cs="宋体" w:hAnsi="宋体" w:eastAsia="宋体"/>
          <w:b w:val="1"/>
          <w:bCs w:val="1"/>
          <w:kern w:val="0"/>
          <w:sz w:val="24"/>
          <w:szCs w:val="24"/>
          <w:u w:color="000000"/>
          <w:rtl w:val="0"/>
          <w:lang w:val="en-US"/>
        </w:rPr>
        <w:t>90</w:t>
      </w:r>
      <w:r>
        <w:rPr>
          <w:rFonts w:ascii="宋体" w:cs="宋体" w:hAnsi="宋体" w:eastAsia="宋体" w:hint="eastAsia"/>
          <w:b w:val="1"/>
          <w:bCs w:val="1"/>
          <w:kern w:val="0"/>
          <w:sz w:val="24"/>
          <w:szCs w:val="24"/>
          <w:u w:color="000000"/>
          <w:rtl w:val="0"/>
          <w:lang w:val="zh-TW" w:eastAsia="zh-TW"/>
        </w:rPr>
        <w:t>分）</w:t>
      </w:r>
    </w:p>
    <w:tbl>
      <w:tblPr>
        <w:tblW w:w="1417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10"/>
        <w:gridCol w:w="1982"/>
        <w:gridCol w:w="10281"/>
      </w:tblGrid>
      <w:tr>
        <w:tblPrEx>
          <w:shd w:val="clear" w:color="auto" w:fill="auto"/>
        </w:tblPrEx>
        <w:trPr>
          <w:trHeight w:val="216" w:hRule="atLeast"/>
        </w:trPr>
        <w:tc>
          <w:tcPr>
            <w:tcW w:type="dxa" w:w="1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一级指标</w:t>
            </w:r>
          </w:p>
        </w:tc>
        <w:tc>
          <w:tcPr>
            <w:tcW w:type="dxa" w:w="198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二级指标</w:t>
            </w:r>
          </w:p>
        </w:tc>
        <w:tc>
          <w:tcPr>
            <w:tcW w:type="dxa" w:w="1028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 w:hint="eastAs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指标描述</w:t>
            </w:r>
          </w:p>
        </w:tc>
      </w:tr>
      <w:tr>
        <w:tblPrEx>
          <w:shd w:val="clear" w:color="auto" w:fill="auto"/>
        </w:tblPrEx>
        <w:trPr>
          <w:trHeight w:val="1427" w:hRule="atLeast"/>
        </w:trPr>
        <w:tc>
          <w:tcPr>
            <w:tcW w:type="dxa" w:w="1910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Ⅰ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思想教育深入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师生素质提升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(13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)</w:t>
            </w:r>
          </w:p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Ⅰ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-1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思想教育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(3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)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积极倡导社会主义核心价值观，弘扬同济精神。中心组学习要保证集体学习研讨的时间和质量，教职工学习有制度、有计划、有记录、有考勤、注重创新学习载体。积极开展社会公德、国家法制宣传等践行活动。</w:t>
            </w:r>
          </w:p>
        </w:tc>
      </w:tr>
      <w:tr>
        <w:tblPrEx>
          <w:shd w:val="clear" w:color="auto" w:fill="auto"/>
        </w:tblPrEx>
        <w:trPr>
          <w:trHeight w:val="1067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Ⅰ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-2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思政队伍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(4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)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辅导员队伍建设有规划、有制度保障，配备比例符合规定，队伍结构合理，辅导员双重身份，落实双重待遇，实现双线晋升；有考核、有激励机制。积极参加各类辅导员工作培训。</w:t>
            </w:r>
          </w:p>
        </w:tc>
      </w:tr>
      <w:tr>
        <w:tblPrEx>
          <w:shd w:val="clear" w:color="auto" w:fill="auto"/>
        </w:tblPrEx>
        <w:trPr>
          <w:trHeight w:val="1445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Ⅰ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-3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师德师风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(3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)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贯彻落实《公民道德建设实施纲要》和《高等学校教师职业道德规范》，定期开展师德主题教育活动，倡导为人师表、践行文明礼仪，树立师德典型。在教师奖励、职务聘任、晋级等工作中实行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师德一票否决制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”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。</w:t>
            </w:r>
          </w:p>
        </w:tc>
      </w:tr>
      <w:tr>
        <w:tblPrEx>
          <w:shd w:val="clear" w:color="auto" w:fill="auto"/>
        </w:tblPrEx>
        <w:trPr>
          <w:trHeight w:val="1067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Ⅰ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-4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和谐关系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领导班子执政为民意识强，思想作风好，团结协作，主动服务群众，关心师生员工的工作、学习、生活和健康，保障师生员工的合法权益，及时解决家庭困难。师生关系融洽，相互尊重，共同进步。</w:t>
            </w:r>
          </w:p>
        </w:tc>
      </w:tr>
      <w:tr>
        <w:tblPrEx>
          <w:shd w:val="clear" w:color="auto" w:fill="auto"/>
        </w:tblPrEx>
        <w:trPr>
          <w:trHeight w:val="930" w:hRule="atLeast"/>
        </w:trPr>
        <w:tc>
          <w:tcPr>
            <w:tcW w:type="dxa" w:w="1910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Ⅱ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学校精神引领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文化生活丰富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13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Ⅱ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-18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文化设施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有教师和学生活动场地和设施，有管理措施。本单位内部刊物用语用字规范、管理有序、运行良好。网络管理制度健全，监管措施有效。</w:t>
            </w:r>
          </w:p>
        </w:tc>
      </w:tr>
      <w:tr>
        <w:tblPrEx>
          <w:shd w:val="clear" w:color="auto" w:fill="auto"/>
        </w:tblPrEx>
        <w:trPr>
          <w:trHeight w:val="1787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210"/>
              <w:jc w:val="both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Ⅱ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-19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文化活动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积极弘扬中华优秀传统文化、革命文化和社会主义先进文化，经常举办学术讲座、文艺演出等活动，积极参与体育比赛、文化艺术节、青少年科技节等校级体育、艺术、科技活动。利用校庆、开学和毕业典礼等节庆重大活动，开展主题教育活动。至少建设一个和学科密切相关的学生社团，并经常开展活动。学生社团管理规范。</w:t>
            </w:r>
          </w:p>
        </w:tc>
      </w:tr>
      <w:tr>
        <w:tblPrEx>
          <w:shd w:val="clear" w:color="auto" w:fill="auto"/>
        </w:tblPrEx>
        <w:trPr>
          <w:trHeight w:val="1427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210"/>
              <w:jc w:val="both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Ⅱ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-20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舆论导向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建立规范的哲学社会科学报告会、论坛、研讨会、讲座和使用原版外文教材的审核管理制度。充分发挥网站、电子屏、微信公众平台、官方微博、公告栏等宣传媒体教育功能，媒体管理有序。设有通讯员，做好本单位的新闻信息工作。</w:t>
            </w:r>
          </w:p>
        </w:tc>
      </w:tr>
      <w:tr>
        <w:tblPrEx>
          <w:shd w:val="clear" w:color="auto" w:fill="auto"/>
        </w:tblPrEx>
        <w:trPr>
          <w:trHeight w:val="1427" w:hRule="atLeast"/>
        </w:trPr>
        <w:tc>
          <w:tcPr>
            <w:tcW w:type="dxa" w:w="1910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Ⅲ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党的建设加强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核心作用强化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19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Ⅲ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-5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班子建设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切实发挥党委领导核心作用，贯彻民主集中制，完善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三重一大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”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制度，在年度考核中群众满意率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85%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以上。意识形态工作责任制落实到位。严格执行《干部任用条例》和干部监督工作有关规定，干部教育培养机制健全，党校工作规范。</w:t>
            </w:r>
          </w:p>
        </w:tc>
      </w:tr>
      <w:tr>
        <w:tblPrEx>
          <w:shd w:val="clear" w:color="auto" w:fill="auto"/>
        </w:tblPrEx>
        <w:trPr>
          <w:trHeight w:val="3227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Ⅲ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-6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基层党建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6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认真贯彻落实《中国共产党普通高等学校基层组织工作条例》，深入开展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两学一做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”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学习教育，以建设学习型党组织为抓手，加强基层党组织建设和党员队伍建设，发挥战斗堡垒作用和先锋模范作用。落实党建工作责任制和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三会一课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”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等制度。突出党员主体地位，实行党务公开，规范党内选举。基层党组织设置优化，工作内容和活动方式有创新。加强对大学生党员的教育管理，规范发展党员程序，把好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发展关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”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和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转正关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”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。探索党的工作进学生公寓、进网络、进社团的有效机制和方法。加强党支部书记和组织员队伍建设。重视在学科带头人、归国留学人员中发现和培养入党积极分子。</w:t>
            </w:r>
          </w:p>
        </w:tc>
      </w:tr>
      <w:tr>
        <w:tblPrEx>
          <w:shd w:val="clear" w:color="auto" w:fill="auto"/>
        </w:tblPrEx>
        <w:trPr>
          <w:trHeight w:val="1787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Ⅲ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-7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党风廉政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落实党风廉政建设党委主体责任和纪委监督责任，党风廉政和反腐败工作的领导及工作机制健全。开好民主生活会。经常开展廉洁教育活动，积极完成各项专项治理工作。规范各项收费制度，落实学校资产监督管理制度，完善和落实经济责任审计制度。畅通信访渠道，及时反馈群众信访反映的问题。</w:t>
            </w:r>
          </w:p>
        </w:tc>
      </w:tr>
      <w:tr>
        <w:tblPrEx>
          <w:shd w:val="clear" w:color="auto" w:fill="auto"/>
        </w:tblPrEx>
        <w:trPr>
          <w:trHeight w:val="1427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Ⅲ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-8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统战、离退休工作（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建立健全统战工作机制和相关制度，扎实做好民族宗教、港澳台侨统战工作。贯彻《上海老干部工作领导责任制》，落实老干部的各项政治、生活待遇。关心退休职工，定期组织退休职工开展活动。发挥离退休干部在关心下一代工作中的作用。</w:t>
            </w:r>
          </w:p>
        </w:tc>
      </w:tr>
      <w:tr>
        <w:tblPrEx>
          <w:shd w:val="clear" w:color="auto" w:fill="auto"/>
        </w:tblPrEx>
        <w:trPr>
          <w:trHeight w:val="1427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210"/>
              <w:jc w:val="both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Ⅲ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-9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群众工作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开展学习型组室建设，建立健全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教职工之家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”“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妇女小家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”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，为本单位贫困教职工解决实际困难。团学组织积极落实党委和上级团组织的要求，积极开展形式多样的主题教育与实践活动。妇女工作体制、机制健全，经费到位，保障女职工特殊权益。</w:t>
            </w:r>
          </w:p>
        </w:tc>
      </w:tr>
      <w:tr>
        <w:tblPrEx>
          <w:shd w:val="clear" w:color="auto" w:fill="auto"/>
        </w:tblPrEx>
        <w:trPr>
          <w:trHeight w:val="1067" w:hRule="atLeast"/>
        </w:trPr>
        <w:tc>
          <w:tcPr>
            <w:tcW w:type="dxa" w:w="1910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Ⅳ 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内涵发展持续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办学绩效显著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23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Ⅳ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-11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发展规划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落实国家、上海市中长期教育改革和发展规划纲要及学校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十三五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”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发展规划，科学制定和组织实施本单位发展规划，体现办学水平及绩效，促进可持续发展。</w:t>
            </w:r>
          </w:p>
        </w:tc>
      </w:tr>
      <w:tr>
        <w:tblPrEx>
          <w:shd w:val="clear" w:color="auto" w:fill="auto"/>
        </w:tblPrEx>
        <w:trPr>
          <w:trHeight w:val="1067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Ⅳ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-12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人才队伍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人才队伍建设有规划、有目标、有措施，优化人才成长环境。人才队伍结构合理，注重学科带头人和创新人才培养。注重青年教师的培养工作，有机制、有计划、有经费，有成效。</w:t>
            </w:r>
          </w:p>
        </w:tc>
      </w:tr>
      <w:tr>
        <w:tblPrEx>
          <w:shd w:val="clear" w:color="auto" w:fill="auto"/>
        </w:tblPrEx>
        <w:trPr>
          <w:trHeight w:val="3227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105"/>
              <w:jc w:val="both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Ⅳ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-13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教育教学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6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教学工作规范，教学秩序稳定，有完善的教学质量监控体系，无重大教学事故。毕业论文（设计）、实践环节抽查情况优良。有实习基地，基本满足需要。教授必须为本科生上课。重视创新能力培养，有计划、有措施地组织开展各类教学创新实践活动。教学改革有规划、有措施、有成效、有创新特色。语言文字使用规范，在教育教学、集体活动中坚持使用普通话和规范字。广泛开展国际交流，推动在校师生参与国际交流交往活动，提高学生国际交往能力，进一步扩大国际影响，提升学校国际化水平。协助学校做好留学生工作，完善工作体制。</w:t>
            </w:r>
          </w:p>
        </w:tc>
      </w:tr>
      <w:tr>
        <w:tblPrEx>
          <w:shd w:val="clear" w:color="auto" w:fill="auto"/>
        </w:tblPrEx>
        <w:trPr>
          <w:trHeight w:val="1427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Ⅳ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-14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科学研究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加强科研管理，注重科研协作，完善创新制度，加强团队建设。加强学科建设，重点学科建设有切实可行的规划目标和发展战略。重视学术、科研道德建设，增强教师的诚信观念和规则意识。注重科研服务，为经济建设、社会发展和城市发展服务。</w:t>
            </w:r>
          </w:p>
        </w:tc>
      </w:tr>
      <w:tr>
        <w:tblPrEx>
          <w:shd w:val="clear" w:color="auto" w:fill="auto"/>
        </w:tblPrEx>
        <w:trPr>
          <w:trHeight w:val="1067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Ⅳ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-15 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学生工作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加强诚信教育，有经常性学风教育活动，学生自觉遵守学校各项规章制度。加强心理健康教育和职业生涯发展教育，建立相应工作机制。引导和鼓励毕业生到基层和西部就业。资助工作有制度，措施落实。</w:t>
            </w:r>
          </w:p>
        </w:tc>
      </w:tr>
      <w:tr>
        <w:tblPrEx>
          <w:shd w:val="clear" w:color="auto" w:fill="auto"/>
        </w:tblPrEx>
        <w:trPr>
          <w:trHeight w:val="1427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Ⅳ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-16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民主管理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单位内部管理机制完善，管理职责清晰。坚持和完善工会、教代会等民主管理制度，有相应的检查监督机构和申诉渠道。发挥学术委员会、教授委员会、学生委员会的积极作用，设立单位领导信箱，建立学校与师生的网上交流平台，重视网络民意。</w:t>
            </w:r>
          </w:p>
        </w:tc>
      </w:tr>
      <w:tr>
        <w:tblPrEx>
          <w:shd w:val="clear" w:color="auto" w:fill="auto"/>
        </w:tblPrEx>
        <w:trPr>
          <w:trHeight w:val="2147" w:hRule="atLeast"/>
        </w:trPr>
        <w:tc>
          <w:tcPr>
            <w:tcW w:type="dxa" w:w="1910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Ⅴ 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校园环境优化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平安健康达标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10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Ⅴ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-22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平安校园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5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建立平安单位创建工作机制，签订安全责任书，建立健全安全、稳定、保卫、保密、信息报送等工作制度。建立和完善突发事件工作预案及处置规程，各类突发事件反应迅速。定期开展重点场所防火、防盗、防爆检查。严格校外住宿学生的教育和管理。技防系统建设达标，设备设施管理到位，人防、物防、技防联动。开展平安单位创建的宣传教育活动和有针对性的安全教育培训。</w:t>
            </w:r>
          </w:p>
        </w:tc>
      </w:tr>
      <w:tr>
        <w:tblPrEx>
          <w:shd w:val="clear" w:color="auto" w:fill="auto"/>
        </w:tblPrEx>
        <w:trPr>
          <w:trHeight w:val="930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Ⅴ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-23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健康校园</w:t>
            </w:r>
          </w:p>
          <w:p>
            <w:pPr>
              <w:pStyle w:val="正文"/>
              <w:widowControl w:val="0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配合实施《国家学生体质健康标准》。积极开展各类体育活动，活动设施完善。配合学校卫生预防体系建设，献血工作落实良好。</w:t>
            </w:r>
          </w:p>
        </w:tc>
      </w:tr>
      <w:tr>
        <w:tblPrEx>
          <w:shd w:val="clear" w:color="auto" w:fill="auto"/>
        </w:tblPrEx>
        <w:trPr>
          <w:trHeight w:val="930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Ⅴ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-25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环保节能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积极推进可持续节约型校园建设，明确部门责任，制定具体措施。深入开展低碳节能教育。</w:t>
            </w:r>
          </w:p>
        </w:tc>
      </w:tr>
      <w:tr>
        <w:tblPrEx>
          <w:shd w:val="clear" w:color="auto" w:fill="auto"/>
        </w:tblPrEx>
        <w:trPr>
          <w:trHeight w:val="1427" w:hRule="atLeast"/>
        </w:trPr>
        <w:tc>
          <w:tcPr>
            <w:tcW w:type="dxa" w:w="1910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Ⅵ 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社会责任担当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单位形象良好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12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Ⅵ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-26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志愿服务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切实开展各种形式的志愿者服务活动，形成长效机制。积极开展西部扶贫、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三下乡</w:t>
            </w:r>
            <w:r>
              <w:rPr>
                <w:rFonts w:ascii="Calibri" w:cs="Calibri" w:hAnsi="Calibri" w:eastAsia="Calibri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”</w:t>
            </w: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等志愿者活动，努力做好上海市、学校重大活动和赛事的志愿者工作。建立体现自身特色的志愿者服务基地，培育志愿者服务品牌。</w:t>
            </w:r>
          </w:p>
        </w:tc>
      </w:tr>
      <w:tr>
        <w:tblPrEx>
          <w:shd w:val="clear" w:color="auto" w:fill="auto"/>
        </w:tblPrEx>
        <w:trPr>
          <w:trHeight w:val="1067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Ⅵ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-27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社会贡献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积极参加各类社会捐助和社会公益活动。主动参与学习型社会、学习型社区活动，支持社区教育工作。积极参加城市公共管理、公共安全和精神文明建设的各类主题实践活动，发挥大学文化的辐射作用。</w:t>
            </w:r>
          </w:p>
        </w:tc>
      </w:tr>
      <w:tr>
        <w:tblPrEx>
          <w:shd w:val="clear" w:color="auto" w:fill="auto"/>
        </w:tblPrEx>
        <w:trPr>
          <w:trHeight w:val="1065" w:hRule="atLeast"/>
        </w:trPr>
        <w:tc>
          <w:tcPr>
            <w:tcW w:type="dxa" w:w="191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9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Ⅵ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-28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共建共享</w:t>
            </w:r>
          </w:p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Fonts w:ascii="宋体" w:cs="宋体" w:hAnsi="宋体" w:eastAsia="宋体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分）</w:t>
            </w:r>
          </w:p>
        </w:tc>
        <w:tc>
          <w:tcPr>
            <w:tcW w:type="dxa" w:w="102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"/>
              <w:pBdr>
                <w:top w:val="nil"/>
                <w:left w:val="nil"/>
                <w:bottom w:val="nil"/>
                <w:right w:val="nil"/>
              </w:pBd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line="36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积极参与未成年人思想道德建设，开展拥军优属等同创共建活动。积极参与社区文明创建活动，协助社区及社区内各实体开展群众性创建活动。</w:t>
            </w:r>
          </w:p>
        </w:tc>
      </w:tr>
    </w:tbl>
    <w:p>
      <w:pPr>
        <w:pStyle w:val="正文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ascii="Arial Unicode MS" w:cs="Arial Unicode MS" w:hAnsi="Arial Unicode MS" w:eastAsia="Arial Unicode MS"/>
          <w:kern w:val="2"/>
          <w:sz w:val="24"/>
          <w:szCs w:val="24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ind w:left="0" w:right="0" w:firstLine="0"/>
        <w:jc w:val="center"/>
        <w:rPr>
          <w:rFonts w:ascii="Arial Unicode MS" w:cs="Arial Unicode MS" w:hAnsi="Arial Unicode MS" w:eastAsia="Arial Unicode MS"/>
          <w:kern w:val="2"/>
          <w:sz w:val="24"/>
          <w:szCs w:val="24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400" w:lineRule="exact"/>
        <w:ind w:left="0" w:right="0" w:firstLine="420"/>
        <w:jc w:val="left"/>
        <w:rPr>
          <w:rFonts w:ascii="宋体" w:cs="宋体" w:hAnsi="宋体" w:eastAsia="宋体"/>
          <w:kern w:val="2"/>
          <w:sz w:val="21"/>
          <w:szCs w:val="21"/>
          <w:u w:color="000000"/>
          <w:rtl w:val="0"/>
          <w:lang w:val="zh-TW" w:eastAsia="zh-TW"/>
        </w:rPr>
      </w:pP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注：以上指标主要针对院系，机关和公共服务部门可作参考，如无某项职能则不作相应要求。</w:t>
      </w: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360" w:lineRule="exact"/>
        <w:ind w:left="0" w:right="0" w:firstLine="0"/>
        <w:jc w:val="left"/>
        <w:rPr>
          <w:rFonts w:ascii="Arial Unicode MS" w:cs="Arial Unicode MS" w:hAnsi="Arial Unicode MS" w:eastAsia="Arial Unicode MS"/>
          <w:kern w:val="2"/>
          <w:sz w:val="21"/>
          <w:szCs w:val="21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360" w:lineRule="exact"/>
        <w:ind w:left="0" w:right="0" w:firstLine="0"/>
        <w:jc w:val="center"/>
        <w:rPr>
          <w:rFonts w:ascii="宋体" w:cs="宋体" w:hAnsi="宋体" w:eastAsia="宋体"/>
          <w:b w:val="1"/>
          <w:bCs w:val="1"/>
          <w:kern w:val="0"/>
          <w:sz w:val="24"/>
          <w:szCs w:val="24"/>
          <w:u w:color="000000"/>
          <w:rtl w:val="0"/>
        </w:rPr>
      </w:pPr>
      <w:r>
        <w:rPr>
          <w:rFonts w:ascii="宋体" w:cs="宋体" w:hAnsi="宋体" w:eastAsia="宋体" w:hint="eastAsia"/>
          <w:b w:val="1"/>
          <w:bCs w:val="1"/>
          <w:kern w:val="0"/>
          <w:sz w:val="24"/>
          <w:szCs w:val="24"/>
          <w:u w:color="000000"/>
          <w:rtl w:val="0"/>
          <w:lang w:val="zh-TW" w:eastAsia="zh-TW"/>
        </w:rPr>
        <w:t>二、特色指标（</w:t>
      </w:r>
      <w:r>
        <w:rPr>
          <w:rFonts w:ascii="宋体" w:cs="宋体" w:hAnsi="宋体" w:eastAsia="宋体"/>
          <w:b w:val="1"/>
          <w:bCs w:val="1"/>
          <w:kern w:val="0"/>
          <w:sz w:val="24"/>
          <w:szCs w:val="24"/>
          <w:u w:color="000000"/>
          <w:rtl w:val="0"/>
          <w:lang w:val="en-US"/>
        </w:rPr>
        <w:t>10</w:t>
      </w:r>
      <w:r>
        <w:rPr>
          <w:rFonts w:ascii="宋体" w:cs="宋体" w:hAnsi="宋体" w:eastAsia="宋体" w:hint="eastAsia"/>
          <w:b w:val="1"/>
          <w:bCs w:val="1"/>
          <w:kern w:val="0"/>
          <w:sz w:val="24"/>
          <w:szCs w:val="24"/>
          <w:u w:color="000000"/>
          <w:rtl w:val="0"/>
          <w:lang w:val="zh-TW" w:eastAsia="zh-TW"/>
        </w:rPr>
        <w:t>分）</w:t>
      </w: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400" w:lineRule="exact"/>
        <w:ind w:left="0" w:right="0" w:firstLine="420"/>
        <w:jc w:val="left"/>
        <w:rPr>
          <w:rFonts w:ascii="宋体" w:cs="宋体" w:hAnsi="宋体" w:eastAsia="宋体"/>
          <w:kern w:val="2"/>
          <w:sz w:val="21"/>
          <w:szCs w:val="21"/>
          <w:u w:color="000000"/>
          <w:rtl w:val="0"/>
          <w:lang w:val="zh-TW" w:eastAsia="zh-TW"/>
        </w:rPr>
      </w:pP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有市级以上表彰或社会影响的好人好事</w:t>
      </w:r>
      <w:r>
        <w:rPr>
          <w:rFonts w:ascii="Times New Roman"/>
          <w:kern w:val="2"/>
          <w:sz w:val="21"/>
          <w:szCs w:val="21"/>
          <w:u w:color="000000"/>
          <w:rtl w:val="0"/>
          <w:lang w:val="en-US"/>
        </w:rPr>
        <w:t xml:space="preserve">, 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获国家级科技创新、思想道德建设等奖项或研究实践成果。积极参与社会公益事业，做出突出贡献。本单位文化建设、文明创建特色明显。</w:t>
      </w: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360" w:lineRule="exact"/>
        <w:ind w:left="0" w:right="0" w:firstLine="0"/>
        <w:jc w:val="both"/>
        <w:rPr>
          <w:rFonts w:ascii="宋体" w:cs="宋体" w:hAnsi="宋体" w:eastAsia="宋体"/>
          <w:b w:val="1"/>
          <w:bCs w:val="1"/>
          <w:kern w:val="0"/>
          <w:sz w:val="24"/>
          <w:szCs w:val="24"/>
          <w:u w:color="000000"/>
          <w:rtl w:val="0"/>
        </w:rPr>
      </w:pP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360" w:lineRule="exact"/>
        <w:ind w:left="0" w:right="0" w:firstLine="0"/>
        <w:jc w:val="center"/>
        <w:rPr>
          <w:rFonts w:ascii="宋体" w:cs="宋体" w:hAnsi="宋体" w:eastAsia="宋体"/>
          <w:b w:val="1"/>
          <w:bCs w:val="1"/>
          <w:kern w:val="0"/>
          <w:sz w:val="24"/>
          <w:szCs w:val="24"/>
          <w:u w:color="000000"/>
          <w:rtl w:val="0"/>
        </w:rPr>
      </w:pPr>
      <w:r>
        <w:rPr>
          <w:rFonts w:ascii="宋体" w:cs="宋体" w:hAnsi="宋体" w:eastAsia="宋体" w:hint="eastAsia"/>
          <w:b w:val="1"/>
          <w:bCs w:val="1"/>
          <w:kern w:val="0"/>
          <w:sz w:val="24"/>
          <w:szCs w:val="24"/>
          <w:u w:color="000000"/>
          <w:rtl w:val="0"/>
          <w:lang w:val="zh-TW" w:eastAsia="zh-TW"/>
        </w:rPr>
        <w:t>三、否定性指标</w:t>
      </w:r>
    </w:p>
    <w:p>
      <w:pPr>
        <w:pStyle w:val="正文"/>
        <w:widowControl w:val="0"/>
        <w:pBdr>
          <w:top w:val="nil"/>
          <w:left w:val="nil"/>
          <w:bottom w:val="nil"/>
          <w:right w:val="nil"/>
        </w:pBd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400" w:lineRule="exact"/>
        <w:ind w:left="0" w:right="0" w:firstLine="420"/>
        <w:jc w:val="left"/>
        <w:rPr>
          <w:rtl w:val="0"/>
        </w:rPr>
      </w:pP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否定性指标为一票否决制，如有以下描述内容，则失去文明单位评选资格：领导班子成员违纪事件、师生员工严重违法案件；重大国有资产流失、重大安全责任事故；</w:t>
      </w:r>
      <w:r>
        <w:rPr>
          <w:rFonts w:hAnsi="Times New Roman" w:hint="default"/>
          <w:kern w:val="2"/>
          <w:sz w:val="21"/>
          <w:szCs w:val="21"/>
          <w:u w:color="000000"/>
          <w:rtl w:val="0"/>
          <w:lang w:val="en-US"/>
        </w:rPr>
        <w:t>“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黄赌毒</w:t>
      </w:r>
      <w:r>
        <w:rPr>
          <w:rFonts w:hAnsi="Times New Roman" w:hint="default"/>
          <w:kern w:val="2"/>
          <w:sz w:val="21"/>
          <w:szCs w:val="21"/>
          <w:u w:color="000000"/>
          <w:rtl w:val="0"/>
          <w:lang w:val="en-US"/>
        </w:rPr>
        <w:t>”</w:t>
      </w:r>
      <w:r>
        <w:rPr>
          <w:rFonts w:ascii="宋体" w:cs="宋体" w:hAnsi="宋体" w:eastAsia="宋体" w:hint="eastAsia"/>
          <w:kern w:val="2"/>
          <w:sz w:val="21"/>
          <w:szCs w:val="21"/>
          <w:u w:color="000000"/>
          <w:rtl w:val="0"/>
          <w:lang w:val="zh-TW" w:eastAsia="zh-TW"/>
        </w:rPr>
        <w:t>等丑恶现象及邪教活动；重大教学事故和诚信不良事件等。</w:t>
      </w:r>
      <w:r>
        <w:rPr>
          <w:rFonts w:ascii="Arial Unicode MS" w:cs="Arial Unicode MS" w:hAnsi="Arial Unicode MS" w:eastAsia="Arial Unicode MS"/>
          <w:kern w:val="2"/>
          <w:sz w:val="21"/>
          <w:szCs w:val="21"/>
          <w:u w:color="000000"/>
          <w:rtl w:val="0"/>
        </w:rPr>
        <w:tab/>
      </w:r>
      <w:r>
        <w:rPr>
          <w:rFonts w:ascii="黑体" w:cs="黑体" w:hAnsi="黑体" w:eastAsia="黑体"/>
          <w:b w:val="1"/>
          <w:bCs w:val="1"/>
          <w:kern w:val="2"/>
          <w:sz w:val="21"/>
          <w:szCs w:val="21"/>
          <w:u w:val="single"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楷体_GB2312">
    <w:charset w:val="00"/>
    <w:family w:val="roman"/>
    <w:pitch w:val="default"/>
  </w:font>
  <w:font w:name="黑体">
    <w:charset w:val="00"/>
    <w:family w:val="roman"/>
    <w:pitch w:val="default"/>
  </w:font>
  <w:font w:name="宋体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